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ФЕДЕРАЦИЯ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6"/>
        <w:jc w:val="center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6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ФЕДЕРАЛЬНЫЙ ЗАКОН</w:t>
      </w: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pStyle w:val="836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28 ноября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2025 г.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426-ФЗ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pStyle w:val="8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«О ФЕДЕРАЛЬНОМ БЮДЖЕТЕ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2026 ГОД И НА ПЛАНОВЫЙ ПЕРИОД 2027 И 2028 ГОДОВ»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Думой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ноября 2025 года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Одобрен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Советом Федерации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ноября 2025 года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/>
      <w:hyperlink r:id="rId8" w:tooltip="https://login.consultant.ru/link/?req=doc&amp;base=LAW&amp;n=520057&amp;dst=100003" w:history="1">
        <w:r>
          <w:rPr>
            <w:rFonts w:ascii="Times New Roman" w:hAnsi="Times New Roman" w:cs="Times New Roman"/>
            <w:i/>
            <w:iCs/>
            <w:sz w:val="28"/>
            <w:szCs w:val="28"/>
          </w:rPr>
          <w:br/>
        </w:r>
        <w:r>
          <w:rPr>
            <w:rFonts w:ascii="Times New Roman" w:hAnsi="Times New Roman" w:cs="Times New Roman"/>
            <w:i/>
            <w:iCs/>
            <w:sz w:val="28"/>
            <w:szCs w:val="28"/>
          </w:rPr>
        </w:r>
      </w:hyperlink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5. Особенности использования средств, предоставляемых отдельным юридическим лицам и индивидуальным предпринимателям, в 2026 году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Установить, что в 2026 году территориальные органы Федерального казначейства осуществляют казначейское сопровождение средств в валюте Российской Федерации, указанных в </w:t>
      </w:r>
      <w:hyperlink w:tooltip="#Par17" w:anchor="Par17" w:history="1">
        <w:r>
          <w:rPr>
            <w:rFonts w:ascii="Times New Roman" w:hAnsi="Times New Roman" w:cs="Times New Roman"/>
            <w:sz w:val="28"/>
            <w:szCs w:val="28"/>
          </w:rPr>
          <w:t xml:space="preserve">частях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tooltip="#Par28" w:anchor="Par28" w:history="1">
        <w:r>
          <w:rPr>
            <w:rFonts w:ascii="Times New Roman" w:hAnsi="Times New Roman" w:cs="Times New Roman"/>
            <w:sz w:val="28"/>
            <w:szCs w:val="28"/>
          </w:rPr>
          <w:t xml:space="preserve"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статьи, предоставляемых из федерального бюджета, бюджетов субъектов Российской Федерации (местных бюджетов), включая остатки средств, предусмотренные </w:t>
      </w:r>
      <w:hyperlink w:tooltip="#Par45" w:anchor="Par45" w:history="1">
        <w:r>
          <w:rPr>
            <w:rFonts w:ascii="Times New Roman" w:hAnsi="Times New Roman" w:cs="Times New Roman"/>
            <w:sz w:val="28"/>
            <w:szCs w:val="28"/>
          </w:rPr>
          <w:t xml:space="preserve">частями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tooltip="#Par46" w:anchor="Par46" w:history="1">
        <w:r>
          <w:rPr>
            <w:rFonts w:ascii="Times New Roman" w:hAnsi="Times New Roman" w:cs="Times New Roman"/>
            <w:sz w:val="28"/>
            <w:szCs w:val="28"/>
          </w:rPr>
          <w:t xml:space="preserve">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 (далее - целевые средства).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/>
      <w:bookmarkStart w:id="0" w:name="Par17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2. Установить, что в соответствии со </w:t>
      </w:r>
      <w:hyperlink r:id="rId9" w:tooltip="https://login.consultant.ru/link/?req=doc&amp;base=LAW&amp;n=511241&amp;dst=6772" w:history="1">
        <w:r>
          <w:rPr>
            <w:rFonts w:ascii="Times New Roman" w:hAnsi="Times New Roman" w:cs="Times New Roman"/>
            <w:sz w:val="28"/>
            <w:szCs w:val="28"/>
          </w:rPr>
          <w:t xml:space="preserve">статьей 242.25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казначейскому сопровождению подлежат следующие целевые средства: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/>
      <w:bookmarkStart w:id="1" w:name="Par18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1) субсидии юридическим лицам (за исключением субс</w:t>
      </w:r>
      <w:r>
        <w:rPr>
          <w:rFonts w:ascii="Times New Roman" w:hAnsi="Times New Roman" w:cs="Times New Roman"/>
          <w:sz w:val="28"/>
          <w:szCs w:val="28"/>
        </w:rPr>
        <w:t xml:space="preserve">идий федеральным бюджетным и автономным учреждениям), в том числе предоставляемые в соответствии с концессионными соглашениями и соглашениями о государственно-частном партнерстве, и бюджетные инвестиции юридическим лицам, предоставляемые в соответствии со </w:t>
      </w:r>
      <w:hyperlink r:id="rId10" w:tooltip="https://login.consultant.ru/link/?req=doc&amp;base=LAW&amp;n=511241&amp;dst=103142" w:history="1">
        <w:r>
          <w:rPr>
            <w:rFonts w:ascii="Times New Roman" w:hAnsi="Times New Roman" w:cs="Times New Roman"/>
            <w:sz w:val="28"/>
            <w:szCs w:val="28"/>
          </w:rPr>
          <w:t xml:space="preserve">статьей 80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/>
      <w:bookmarkStart w:id="2" w:name="Par19"/>
      <w:r/>
      <w:bookmarkEnd w:id="2"/>
      <w:r>
        <w:rPr>
          <w:rFonts w:ascii="Times New Roman" w:hAnsi="Times New Roman" w:cs="Times New Roman"/>
          <w:sz w:val="28"/>
          <w:szCs w:val="28"/>
        </w:rPr>
        <w:t xml:space="preserve">2) гранты в форме субсидий бюджетным и автономным учреждениям, предоставляемые в соответствии с </w:t>
      </w:r>
      <w:hyperlink r:id="rId11" w:tooltip="https://login.consultant.ru/link/?req=doc&amp;base=LAW&amp;n=511241&amp;dst=7461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 4 статьи 78.1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/>
      <w:bookmarkStart w:id="3" w:name="Par20"/>
      <w:r/>
      <w:bookmarkEnd w:id="3"/>
      <w:r>
        <w:rPr>
          <w:rFonts w:ascii="Times New Roman" w:hAnsi="Times New Roman" w:cs="Times New Roman"/>
          <w:sz w:val="28"/>
          <w:szCs w:val="28"/>
        </w:rPr>
        <w:t xml:space="preserve">3) взносы в уставные (складочные) капиталы юридических лиц (дочерних обществ юридических лиц), вклады в имущество юридических лиц (дочерних </w:t>
      </w:r>
      <w:r>
        <w:rPr>
          <w:rFonts w:ascii="Times New Roman" w:hAnsi="Times New Roman" w:cs="Times New Roman"/>
          <w:sz w:val="28"/>
          <w:szCs w:val="28"/>
        </w:rPr>
        <w:t xml:space="preserve">обществ юридических лиц), не увеличивающие их уставные (складочные) капиталы, гранты, источником финансового обеспечения которых являются субсидии и бюджетные инвестиции, указанные в </w:t>
      </w:r>
      <w:hyperlink w:tooltip="#Par18" w:anchor="Par18" w:history="1">
        <w:r>
          <w:rPr>
            <w:rFonts w:ascii="Times New Roman" w:hAnsi="Times New Roman" w:cs="Times New Roman"/>
            <w:sz w:val="28"/>
            <w:szCs w:val="28"/>
          </w:rPr>
          <w:t xml:space="preserve">пунктах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tooltip="#Par19" w:anchor="Par19" w:history="1"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части;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/>
      <w:bookmarkStart w:id="4" w:name="Par21"/>
      <w:r/>
      <w:bookmarkEnd w:id="4"/>
      <w:r>
        <w:rPr>
          <w:rFonts w:ascii="Times New Roman" w:hAnsi="Times New Roman" w:cs="Times New Roman"/>
          <w:sz w:val="28"/>
          <w:szCs w:val="28"/>
        </w:rPr>
        <w:t xml:space="preserve">4) авансовые платежи по контрактам (договорам) о поставке товаров, выполнении работ, оказании услуг, источником финансового обеспечения которых являются субсидии и бюджетные инвестиции, указанные в </w:t>
      </w:r>
      <w:hyperlink w:tooltip="#Par18" w:anchor="Par18" w:history="1">
        <w:r>
          <w:rPr>
            <w:rFonts w:ascii="Times New Roman" w:hAnsi="Times New Roman" w:cs="Times New Roman"/>
            <w:sz w:val="28"/>
            <w:szCs w:val="28"/>
          </w:rPr>
          <w:t xml:space="preserve">пунктах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tooltip="#Par19" w:anchor="Par19" w:history="1"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части, а также взносы (вклады), гранты, указанные в </w:t>
      </w:r>
      <w:hyperlink w:tooltip="#Par20" w:anchor="Par20" w:history="1">
        <w:r>
          <w:rPr>
            <w:rFonts w:ascii="Times New Roman" w:hAnsi="Times New Roman" w:cs="Times New Roman"/>
            <w:sz w:val="28"/>
            <w:szCs w:val="28"/>
          </w:rPr>
          <w:t xml:space="preserve">пункте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части;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/>
      <w:bookmarkStart w:id="5" w:name="Par22"/>
      <w:r/>
      <w:bookmarkEnd w:id="5"/>
      <w:r>
        <w:rPr>
          <w:rFonts w:ascii="Times New Roman" w:hAnsi="Times New Roman" w:cs="Times New Roman"/>
          <w:sz w:val="28"/>
          <w:szCs w:val="28"/>
        </w:rPr>
        <w:t xml:space="preserve">5) авансовы</w:t>
      </w:r>
      <w:r>
        <w:rPr>
          <w:rFonts w:ascii="Times New Roman" w:hAnsi="Times New Roman" w:cs="Times New Roman"/>
          <w:sz w:val="28"/>
          <w:szCs w:val="28"/>
        </w:rPr>
        <w:t xml:space="preserve">е платежи по государственным контрактам о поставке товаров, выполнении работ, оказании услуг (за исключением государственных контрактов, заключаемых в целях реализации государственного оборонного заказа), заключаемым на сумму 100 000,0 тыс. рублей и более;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/>
      <w:bookmarkStart w:id="6" w:name="Par23"/>
      <w:r/>
      <w:bookmarkEnd w:id="6"/>
      <w:r>
        <w:rPr>
          <w:rFonts w:ascii="Times New Roman" w:hAnsi="Times New Roman" w:cs="Times New Roman"/>
          <w:sz w:val="28"/>
          <w:szCs w:val="28"/>
        </w:rPr>
        <w:t xml:space="preserve">6) авансовые платежи по контрактам (договорам) о поставке товаров, выполнении работ, оказании услуг, заключаемым на сумму 10 </w:t>
      </w:r>
      <w:r>
        <w:rPr>
          <w:rFonts w:ascii="Times New Roman" w:hAnsi="Times New Roman" w:cs="Times New Roman"/>
          <w:sz w:val="28"/>
          <w:szCs w:val="28"/>
        </w:rPr>
        <w:t xml:space="preserve">000,0 тыс. рублей и более федеральными бюджетными и автономными учреждениями, лицевые счета которым открыты в территориальных органах Федерального казначейства, источником финансового обеспечения которых являются субсидии, предоставляемые в соответствии с </w:t>
      </w:r>
      <w:hyperlink r:id="rId12" w:tooltip="https://login.consultant.ru/link/?req=doc&amp;base=LAW&amp;n=511241&amp;dst=6233" w:history="1">
        <w:r>
          <w:rPr>
            <w:rFonts w:ascii="Times New Roman" w:hAnsi="Times New Roman" w:cs="Times New Roman"/>
            <w:sz w:val="28"/>
            <w:szCs w:val="28"/>
          </w:rPr>
          <w:t xml:space="preserve">абзацами первым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tooltip="https://login.consultant.ru/link/?req=doc&amp;base=LAW&amp;n=511241&amp;dst=7610" w:history="1">
        <w:r>
          <w:rPr>
            <w:rFonts w:ascii="Times New Roman" w:hAnsi="Times New Roman" w:cs="Times New Roman"/>
            <w:sz w:val="28"/>
            <w:szCs w:val="28"/>
          </w:rPr>
          <w:t xml:space="preserve">вторым пункта 1 статьи 78.1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tooltip="https://login.consultant.ru/link/?req=doc&amp;base=LAW&amp;n=511241&amp;dst=103433" w:history="1">
        <w:r>
          <w:rPr>
            <w:rFonts w:ascii="Times New Roman" w:hAnsi="Times New Roman" w:cs="Times New Roman"/>
            <w:sz w:val="28"/>
            <w:szCs w:val="28"/>
          </w:rPr>
          <w:t xml:space="preserve">статьей 78.2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расчеты по государственным контрактам, заключаемым в соответствии с </w:t>
      </w:r>
      <w:hyperlink r:id="rId15" w:tooltip="https://login.consultant.ru/link/?req=doc&amp;base=LAW&amp;n=494990&amp;dst=12254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 2 части 1 статьи 93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и (или) в иных случаях осуществления закупки для федеральных нужд у единственного постав</w:t>
      </w:r>
      <w:r>
        <w:rPr>
          <w:rFonts w:ascii="Times New Roman" w:hAnsi="Times New Roman" w:cs="Times New Roman"/>
          <w:sz w:val="28"/>
          <w:szCs w:val="28"/>
        </w:rPr>
        <w:t xml:space="preserve">щика (подрядчика, исполнителя) в соответствии с иными федеральными законами на сумму более 3000,0 тыс. рублей, а также расчеты по контрактам (договорам), заключаемым в целях исполнения указанных государственных контрактов на сумму более 3000,0 тыс. рублей;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расчеты по государственным кон</w:t>
      </w:r>
      <w:r>
        <w:rPr>
          <w:rFonts w:ascii="Times New Roman" w:hAnsi="Times New Roman" w:cs="Times New Roman"/>
          <w:sz w:val="28"/>
          <w:szCs w:val="28"/>
        </w:rPr>
        <w:t xml:space="preserve">трактам, заключаемым в целях реализации государственного оборонного заказа на сумму более 3000,0 тыс. рублей, а также расчеты по контрактам (договорам), заключаемым в рамках исполнения указанных государственных контрактов на сумму более 3000,0 тыс. рублей;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авансовые платежи по контрактам (договорам) о поставке товаров, выполнении работ, оказании услуг, заключаемым на сумму более 3000,0 тыс. рублей исполнителями и соисполнителями в рамках исполнения указанных в </w:t>
      </w:r>
      <w:hyperlink w:tooltip="#Par22" w:anchor="Par22" w:history="1">
        <w:r>
          <w:rPr>
            <w:rFonts w:ascii="Times New Roman" w:hAnsi="Times New Roman" w:cs="Times New Roman"/>
            <w:sz w:val="28"/>
            <w:szCs w:val="28"/>
          </w:rPr>
          <w:t xml:space="preserve">пунктах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tooltip="#Par23" w:anchor="Par23" w:history="1">
        <w:r>
          <w:rPr>
            <w:rFonts w:ascii="Times New Roman" w:hAnsi="Times New Roman" w:cs="Times New Roman"/>
            <w:sz w:val="28"/>
            <w:szCs w:val="28"/>
          </w:rPr>
          <w:t xml:space="preserve">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части государственных контрактов (контрактов, договоров) о поставке товаров, выполнении работ, оказании услуг;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средства, получаемые юридическими лицами и индивидуальными предпринимателями, в случаях, установленных Правительством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/>
      <w:bookmarkStart w:id="7" w:name="Par28"/>
      <w:r/>
      <w:bookmarkEnd w:id="7"/>
      <w:r>
        <w:rPr>
          <w:rFonts w:ascii="Times New Roman" w:hAnsi="Times New Roman" w:cs="Times New Roman"/>
          <w:sz w:val="28"/>
          <w:szCs w:val="28"/>
        </w:rPr>
        <w:t xml:space="preserve">3. Установить, что территориальные органы Федерального казначейства осуществляют в порядке, установленном Правительством Российской Федерации в соответствии с </w:t>
      </w:r>
      <w:hyperlink r:id="rId16" w:tooltip="https://login.consultant.ru/link/?req=doc&amp;base=LAW&amp;n=511241&amp;dst=6751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 3 статьи 242.23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казначейское сопровождение: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/>
      <w:bookmarkStart w:id="8" w:name="Par29"/>
      <w:r/>
      <w:bookmarkEnd w:id="8"/>
      <w:r>
        <w:rPr>
          <w:rFonts w:ascii="Times New Roman" w:hAnsi="Times New Roman" w:cs="Times New Roman"/>
          <w:sz w:val="28"/>
          <w:szCs w:val="28"/>
        </w:rPr>
        <w:t xml:space="preserve">1) расчетов по государственным (муниципальным) контрактам о поставке товаров, выполнении работ, оказании услуг, заключаемым на сумму 100 000,0 тыс. рублей и более для обеспечения государственных нужд субъекта Российской Федерации (муниципальных ну</w:t>
      </w:r>
      <w:r>
        <w:rPr>
          <w:rFonts w:ascii="Times New Roman" w:hAnsi="Times New Roman" w:cs="Times New Roman"/>
          <w:sz w:val="28"/>
          <w:szCs w:val="28"/>
        </w:rPr>
        <w:t xml:space="preserve">жд), расчетов по контрактам (договорам) о поставке товаров, выполнении работ, оказании услуг, заключаемым на сумму 10 000,0 тыс. рублей и более бюджетными и автономными учреждениями субъекта Российской Федерации (муниципальными бюджетными и автономными учр</w:t>
      </w:r>
      <w:r>
        <w:rPr>
          <w:rFonts w:ascii="Times New Roman" w:hAnsi="Times New Roman" w:cs="Times New Roman"/>
          <w:sz w:val="28"/>
          <w:szCs w:val="28"/>
        </w:rPr>
        <w:t xml:space="preserve">еждениями), субсидий юридическим лицам (за исключением субсидий бюджетным и автономным учреждениям субъекта Российской Федерации и муниципальным бюджетным и автономным учреждениям), бюджетных инвестиций юридическим лицам, предоставляемых в соответствии со </w:t>
      </w:r>
      <w:hyperlink r:id="rId17" w:tooltip="https://login.consultant.ru/link/?req=doc&amp;base=LAW&amp;n=511241&amp;dst=103142" w:history="1">
        <w:r>
          <w:rPr>
            <w:rFonts w:ascii="Times New Roman" w:hAnsi="Times New Roman" w:cs="Times New Roman"/>
            <w:sz w:val="28"/>
            <w:szCs w:val="28"/>
          </w:rPr>
          <w:t xml:space="preserve">статьей 80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субсидий на финансовое обеспечение затрат в соответствии с концессионными соглашениями и соглашениями о государственно-частном партнерстве (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-частном партнерстве), бюджетных инвестиций в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и с концессионными соглашениями, предоставляемых из бюджета субъекта Российской Федерации (местного бюджета), источником финансового обеспечения которых являются межбюджетные трансферты, имеющие целевое назначение, предоставляемые из федерального бюджета б</w:t>
      </w:r>
      <w:r>
        <w:rPr>
          <w:rFonts w:ascii="Times New Roman" w:hAnsi="Times New Roman" w:cs="Times New Roman"/>
          <w:sz w:val="28"/>
          <w:szCs w:val="28"/>
        </w:rPr>
        <w:t xml:space="preserve">юджету субъекта Российской Федерации, а также расчетов по контрактам (договорам) о поставке товаров, выполнении работ, оказании услуг, заключаемым на сумму более 3000,0 тыс. рублей исполнителями и соисполнителями в рамках исполнения указанных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ых (муниципальных) контрактов (контрактов, договоров) о поставке товаров, выполнении работ, оказании услуг, договоров (соглашений) о предоставлении субсидий (бюджетных инвестиций), концессионных соглашений, соглашений о государственно-частном партнерстве (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-частном партнерстве);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расчетов по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ственным (муниципальным) контрактам о поставке товаров, выполнении работ, оказании услуг, заключаемым для обеспечения государственных нужд субъекта Российской Федерации (муниципальных нужд), расчетов по контрактам (договорам) о поставке товаров, выполнении</w:t>
      </w:r>
      <w:r>
        <w:rPr>
          <w:rFonts w:ascii="Times New Roman" w:hAnsi="Times New Roman" w:cs="Times New Roman"/>
          <w:sz w:val="28"/>
          <w:szCs w:val="28"/>
        </w:rPr>
        <w:t xml:space="preserve"> работ, оказании услуг, заключаемым бюджетными и автономными учреждениями субъекта Российской Федерации (муниципальными бюджетными и автономными учреждениями), субсидий юридическим лицам (за исключением субсидий бюджетным и автономным учреждениям субъекта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и муниципальным бюджетным и автономным учреждениям), бюджетных инвестиций юридическим лицам, предоставляемых в соответствии со </w:t>
      </w:r>
      <w:hyperlink r:id="rId18" w:tooltip="https://login.consultant.ru/link/?req=doc&amp;base=LAW&amp;n=511241&amp;dst=103142" w:history="1">
        <w:r>
          <w:rPr>
            <w:rFonts w:ascii="Times New Roman" w:hAnsi="Times New Roman" w:cs="Times New Roman"/>
            <w:sz w:val="28"/>
            <w:szCs w:val="28"/>
          </w:rPr>
          <w:t xml:space="preserve">статьей 80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субсидий на финансовое обеспечение затрат в соответствии с концессионными соглашениями и соглашениями о государственно-частном партнерстве (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-частном партнерстве), бюджетных инвестиций в соответствии с концессионными соглашениями, предоставляемых из бюджета субъекта Российской Федерации (местного бюджета), источником финансового обеспечения которых являются бюджетные кре</w:t>
      </w:r>
      <w:r>
        <w:rPr>
          <w:rFonts w:ascii="Times New Roman" w:hAnsi="Times New Roman" w:cs="Times New Roman"/>
          <w:sz w:val="28"/>
          <w:szCs w:val="28"/>
        </w:rPr>
        <w:t xml:space="preserve">диты, предоставляемые из федерального бюджета бюджету субъекта Российской Федерации, на финансовое обеспечение реализации инфраструктурных проектов, правилами предоставления которых предусмотрены условия об осуществлении Федеральным казначейством казначейс</w:t>
      </w:r>
      <w:r>
        <w:rPr>
          <w:rFonts w:ascii="Times New Roman" w:hAnsi="Times New Roman" w:cs="Times New Roman"/>
          <w:sz w:val="28"/>
          <w:szCs w:val="28"/>
        </w:rPr>
        <w:t xml:space="preserve">кого сопровождения указанных средств, а также расчетов по контрактам (договорам) о поставке товаров, выполнении работ, оказании услуг, заключаемым на сумму более 3000,0 тыс. рублей исполнителями и соисполнителями в рамках исполнения указанных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ых (муниципальных) контрактов (контрактов, договоров) о поставке товаров, выполнении работ, оказании услуг, договоров (соглашений) о предоставлении субсидий (бюджетных инвестиций), концессионных соглашений, соглашений о государственно-частном партнерстве (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-частном партнерстве);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/>
      <w:bookmarkStart w:id="9" w:name="Par31"/>
      <w:r/>
      <w:bookmarkEnd w:id="9"/>
      <w:r>
        <w:rPr>
          <w:rFonts w:ascii="Times New Roman" w:hAnsi="Times New Roman" w:cs="Times New Roman"/>
          <w:sz w:val="28"/>
          <w:szCs w:val="28"/>
        </w:rPr>
        <w:t xml:space="preserve">3) расчетов по государственным (муниципальным) ко</w:t>
      </w:r>
      <w:r>
        <w:rPr>
          <w:rFonts w:ascii="Times New Roman" w:hAnsi="Times New Roman" w:cs="Times New Roman"/>
          <w:sz w:val="28"/>
          <w:szCs w:val="28"/>
        </w:rPr>
        <w:t xml:space="preserve">нтрактам о поставке товаров, выполнении работ, оказании услуг, заключаемым для обеспечения государственных нужд субъекта Российской Федерации (муниципальных нужд), расчетов по контрактам (договорам) о поставке товаров, выполнении работ, оказании услуг, зак</w:t>
      </w:r>
      <w:r>
        <w:rPr>
          <w:rFonts w:ascii="Times New Roman" w:hAnsi="Times New Roman" w:cs="Times New Roman"/>
          <w:sz w:val="28"/>
          <w:szCs w:val="28"/>
        </w:rPr>
        <w:t xml:space="preserve">лючаемым бюджетными и автономными учреждениями субъекта Российской Федерации (муниципальными бюджетными и автономными учреждениями), субсидий юридическим лицам (за исключением субсидий бюджетным и автономным учреждениям субъекта Российской Федерации, муниц</w:t>
      </w:r>
      <w:r>
        <w:rPr>
          <w:rFonts w:ascii="Times New Roman" w:hAnsi="Times New Roman" w:cs="Times New Roman"/>
          <w:sz w:val="28"/>
          <w:szCs w:val="28"/>
        </w:rPr>
        <w:t xml:space="preserve">ипальным бюджетным и автономным учреждениям) и индивидуальным предпринимателям, грантов в форме субсидий бюджетным и автономным учреждениям субъектов Российской Федерации (муниципальным бюджетным и автономным учреждениям), предоставляемых в соответствии с </w:t>
      </w:r>
      <w:hyperlink r:id="rId19" w:tooltip="https://login.consultant.ru/link/?req=doc&amp;base=LAW&amp;n=511241&amp;dst=7461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 4 статьи 78.1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бюджетных инвестиций юридическим лицам, предоставляемых в соответствии со </w:t>
      </w:r>
      <w:hyperlink r:id="rId20" w:tooltip="https://login.consultant.ru/link/?req=doc&amp;base=LAW&amp;n=511241&amp;dst=103142" w:history="1">
        <w:r>
          <w:rPr>
            <w:rFonts w:ascii="Times New Roman" w:hAnsi="Times New Roman" w:cs="Times New Roman"/>
            <w:sz w:val="28"/>
            <w:szCs w:val="28"/>
          </w:rPr>
          <w:t xml:space="preserve">статьей 80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субсидий на финансовое обеспечение затрат в соответствии с концессионными соглашениями и соглашениями о государственно-частном партнерстве (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-частном партнерстве), бюджетных инвестиций в соответствии с концессионными соглашениями, предостав</w:t>
      </w:r>
      <w:r>
        <w:rPr>
          <w:rFonts w:ascii="Times New Roman" w:hAnsi="Times New Roman" w:cs="Times New Roman"/>
          <w:sz w:val="28"/>
          <w:szCs w:val="28"/>
        </w:rPr>
        <w:t xml:space="preserve">ляемых из бюджета субъекта Российской Федерации (местного бюджета), источником финансового обеспечения которых являются предоставляемые бюджетам субъектов Российской Федерации бюджетные кредиты за счет временно свободных средств единого счета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бюджета на срок до пятнадцати лет с взиманием платы за пользование ими по ставке 3 процента годовых с правом досрочного погашения и (или) бюджетные кредиты за счет временно свободных средств единого счета федерального бюджета на финансовое обеспечение </w:t>
      </w:r>
      <w:r>
        <w:rPr>
          <w:rFonts w:ascii="Times New Roman" w:hAnsi="Times New Roman" w:cs="Times New Roman"/>
          <w:sz w:val="28"/>
          <w:szCs w:val="28"/>
        </w:rPr>
        <w:t xml:space="preserve">реализации инфраструктурных проектов, а также расчетов по контрактам (договорам) о поставке товаров, выполнении работ, оказании услуг, заключаемым на сумму более 3000,0 тыс. рублей исполнителями и соисполнителями в рамках исполнения указанных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ых (муниципальных) контрактов (контрактов, договоров) о поставке товаров, выполнении работ, оказании услуг, договоров (соглашений) о предоставлении субсидий (бюджетных инвестиций), концессионных соглашений, соглашений о государственно-частном партнерстве (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-частном партнерстве);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расчетов по государственным (муниципальным) контрактам, заключаемым в соответствии с </w:t>
      </w:r>
      <w:hyperlink r:id="rId21" w:tooltip="https://login.consultant.ru/link/?req=doc&amp;base=LAW&amp;n=494990&amp;dst=12254" w:history="1">
        <w:r>
          <w:rPr>
            <w:rFonts w:ascii="Times New Roman" w:hAnsi="Times New Roman" w:cs="Times New Roman"/>
            <w:sz w:val="28"/>
            <w:szCs w:val="28"/>
          </w:rPr>
          <w:t xml:space="preserve">пунктами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tooltip="https://login.consultant.ru/link/?req=doc&amp;base=LAW&amp;n=494990&amp;dst=12331" w:history="1">
        <w:r>
          <w:rPr>
            <w:rFonts w:ascii="Times New Roman" w:hAnsi="Times New Roman" w:cs="Times New Roman"/>
            <w:sz w:val="28"/>
            <w:szCs w:val="28"/>
          </w:rPr>
          <w:t xml:space="preserve">6.1 части 1 статьи 93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и (или) в иных случаях осуществления закупок для 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арственных (муниципальных) нужд у единственного поставщика (подрядчика, исполнителя) в соответствии с иными федеральными законами, на сумму более 3000,0 тыс. рублей, источником финансового обеспечения которых являются межбюджетные трансферты, имеющие целев</w:t>
      </w:r>
      <w:r>
        <w:rPr>
          <w:rFonts w:ascii="Times New Roman" w:hAnsi="Times New Roman" w:cs="Times New Roman"/>
          <w:sz w:val="28"/>
          <w:szCs w:val="28"/>
        </w:rPr>
        <w:t xml:space="preserve">ое назначение, предоставляемые из федерального бюджета бюджету субъекта Российской Федерации, а также расчетов по контрактам (договорам), заключаемым в целях исполнения указанных государственных (муниципальных) контрактов на сумму более 3000,0 тыс. рублей;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/>
      <w:bookmarkStart w:id="10" w:name="Par33"/>
      <w:r/>
      <w:bookmarkEnd w:id="10"/>
      <w:r>
        <w:rPr>
          <w:rFonts w:ascii="Times New Roman" w:hAnsi="Times New Roman" w:cs="Times New Roman"/>
          <w:sz w:val="28"/>
          <w:szCs w:val="28"/>
        </w:rPr>
        <w:t xml:space="preserve">5) средств, получаемых юридическими лицами и индивидуальными предпринимателями, в случаях, определенных федеральным законом, актом Правительства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/>
      <w:bookmarkStart w:id="11" w:name="Par34"/>
      <w:r/>
      <w:bookmarkEnd w:id="11"/>
      <w:r>
        <w:rPr>
          <w:rFonts w:ascii="Times New Roman" w:hAnsi="Times New Roman" w:cs="Times New Roman"/>
          <w:sz w:val="28"/>
          <w:szCs w:val="28"/>
        </w:rPr>
        <w:t xml:space="preserve">6) иных средств, определенных с учетом положений, установленных </w:t>
      </w:r>
      <w:hyperlink r:id="rId23" w:tooltip="https://login.consultant.ru/link/?req=doc&amp;base=LAW&amp;n=511241&amp;dst=6774" w:history="1">
        <w:r>
          <w:rPr>
            <w:rFonts w:ascii="Times New Roman" w:hAnsi="Times New Roman" w:cs="Times New Roman"/>
            <w:sz w:val="28"/>
            <w:szCs w:val="28"/>
          </w:rPr>
          <w:t xml:space="preserve">статьей 242.26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 соответствии с обращением высшего исполнительного органа субъекта Российской Федерации (местной администрации).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Положения </w:t>
      </w:r>
      <w:hyperlink w:tooltip="#Par17" w:anchor="Par17" w:history="1">
        <w:r>
          <w:rPr>
            <w:rFonts w:ascii="Times New Roman" w:hAnsi="Times New Roman" w:cs="Times New Roman"/>
            <w:sz w:val="28"/>
            <w:szCs w:val="28"/>
          </w:rPr>
          <w:t xml:space="preserve">части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 не распространяются в соответствии с </w:t>
      </w:r>
      <w:hyperlink r:id="rId24" w:tooltip="https://login.consultant.ru/link/?req=doc&amp;base=LAW&amp;n=511241&amp;dst=6790" w:history="1">
        <w:r>
          <w:rPr>
            <w:rFonts w:ascii="Times New Roman" w:hAnsi="Times New Roman" w:cs="Times New Roman"/>
            <w:sz w:val="28"/>
            <w:szCs w:val="28"/>
          </w:rPr>
          <w:t xml:space="preserve">подпунктом 4 статьи 242.27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</w:t>
      </w:r>
      <w:r>
        <w:rPr>
          <w:rFonts w:ascii="Times New Roman" w:hAnsi="Times New Roman" w:cs="Times New Roman"/>
          <w:sz w:val="28"/>
          <w:szCs w:val="28"/>
        </w:rPr>
        <w:t xml:space="preserve">йской Федерации на средства, предоставляемые из федерального бюджета организациям кинематографии, региональным и муниципальным средствам массовой информации, а также политическим партиям в целях компенсации финансовых затрат по итогам их участия в выборах.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(Секретно).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Установить, что перечисление средств по оплате обязательств юридических лиц с применением казначейского обеспечения обязательств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25" w:tooltip="https://login.consultant.ru/link/?req=doc&amp;base=LAW&amp;n=511241&amp;dst=6731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 1 статьи 242.22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осуществляется в отношении: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/>
      <w:bookmarkStart w:id="12" w:name="Par38"/>
      <w:r/>
      <w:bookmarkEnd w:id="12"/>
      <w:r>
        <w:rPr>
          <w:rFonts w:ascii="Times New Roman" w:hAnsi="Times New Roman" w:cs="Times New Roman"/>
          <w:sz w:val="28"/>
          <w:szCs w:val="28"/>
        </w:rPr>
        <w:t xml:space="preserve">1) субсидий, указанных в </w:t>
      </w:r>
      <w:hyperlink w:tooltip="#Par18" w:anchor="Par18" w:history="1">
        <w:r>
          <w:rPr>
            <w:rFonts w:ascii="Times New Roman" w:hAnsi="Times New Roman" w:cs="Times New Roman"/>
            <w:sz w:val="28"/>
            <w:szCs w:val="28"/>
          </w:rPr>
          <w:t xml:space="preserve">пункте 1 части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статьи, определенных правовыми актами главных распорядителей средств федерального бюджета, осуществляющих как получатели средств федерального бюджета предоставлени</w:t>
      </w:r>
      <w:r>
        <w:rPr>
          <w:rFonts w:ascii="Times New Roman" w:hAnsi="Times New Roman" w:cs="Times New Roman"/>
          <w:sz w:val="28"/>
          <w:szCs w:val="28"/>
        </w:rPr>
        <w:t xml:space="preserve">е указанных субсидий (за исключением субсидий государственным корпорациям, определенным решениями Правительства Российской Федерации), а также авансовых платежей по контрактам (договорам), источником финансового обеспечения которых являются такие субсидии;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целевых средств, предоставляемых юридическим лицам на основании государственных контрактов, определенных правовыми актами федеральных органов государственной власти, Государственной корпорации по космической деятельности "</w:t>
      </w:r>
      <w:r>
        <w:rPr>
          <w:rFonts w:ascii="Times New Roman" w:hAnsi="Times New Roman" w:cs="Times New Roman"/>
          <w:sz w:val="28"/>
          <w:szCs w:val="28"/>
        </w:rPr>
        <w:t xml:space="preserve">Роскосмос</w:t>
      </w:r>
      <w:r>
        <w:rPr>
          <w:rFonts w:ascii="Times New Roman" w:hAnsi="Times New Roman" w:cs="Times New Roman"/>
          <w:sz w:val="28"/>
          <w:szCs w:val="28"/>
        </w:rPr>
        <w:t xml:space="preserve">", Государственной корпорации по атомной энергии "</w:t>
      </w:r>
      <w:r>
        <w:rPr>
          <w:rFonts w:ascii="Times New Roman" w:hAnsi="Times New Roman" w:cs="Times New Roman"/>
          <w:sz w:val="28"/>
          <w:szCs w:val="28"/>
        </w:rPr>
        <w:t xml:space="preserve">Росатом</w:t>
      </w:r>
      <w:r>
        <w:rPr>
          <w:rFonts w:ascii="Times New Roman" w:hAnsi="Times New Roman" w:cs="Times New Roman"/>
          <w:sz w:val="28"/>
          <w:szCs w:val="28"/>
        </w:rPr>
        <w:t xml:space="preserve">", осуществляющих бюджетные полномочия главного распорядителя средств федерального бюджета, в отношении государственных контрактов, заключаемых ими и подведомственными им получа</w:t>
      </w:r>
      <w:r>
        <w:rPr>
          <w:rFonts w:ascii="Times New Roman" w:hAnsi="Times New Roman" w:cs="Times New Roman"/>
          <w:sz w:val="28"/>
          <w:szCs w:val="28"/>
        </w:rPr>
        <w:t xml:space="preserve">телями средств федерального бюджета, в размере, не превышающем сумм авансовых платежей по государственным контрактам, но не более лимитов бюджетных обязательств, доведенных до них в установленном порядке на указанные цели на соответствующий финансовый год;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/>
      <w:bookmarkStart w:id="13" w:name="Par40"/>
      <w:r/>
      <w:bookmarkEnd w:id="13"/>
      <w:r>
        <w:rPr>
          <w:rFonts w:ascii="Times New Roman" w:hAnsi="Times New Roman" w:cs="Times New Roman"/>
          <w:sz w:val="28"/>
          <w:szCs w:val="28"/>
        </w:rPr>
        <w:t xml:space="preserve">3) средств, получаемых юридическими лицами, в случаях, установленных Правительством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Условие о казначейском обеспечении обязательств включается в условия соответствующих государственных контрактов, договоров (соглашений) о предоставлении субсидий, указанных в </w:t>
      </w:r>
      <w:hyperlink w:tooltip="#Par38" w:anchor="Par38" w:history="1">
        <w:r>
          <w:rPr>
            <w:rFonts w:ascii="Times New Roman" w:hAnsi="Times New Roman" w:cs="Times New Roman"/>
            <w:sz w:val="28"/>
            <w:szCs w:val="28"/>
          </w:rPr>
          <w:t xml:space="preserve">пунктах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tooltip="#Par40" w:anchor="Par40" w:history="1">
        <w:r>
          <w:rPr>
            <w:rFonts w:ascii="Times New Roman" w:hAnsi="Times New Roman" w:cs="Times New Roman"/>
            <w:sz w:val="28"/>
            <w:szCs w:val="28"/>
          </w:rPr>
          <w:t xml:space="preserve">3 части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статьи, а также контрактов (договоров), заключаемых в рамках их исполнения.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Правительство Российской Федерации устанавливает случаи и порядок применения казначейского обеспечения обязательств при банковском сопровождении государственных контрактов, а также контрактов (договоров), заключаемых в рамках их исполнения.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Установить, что до 1 сентября 2026 года при проведении казначейского мониторинга, предусмотренного </w:t>
      </w:r>
      <w:hyperlink r:id="rId26" w:tooltip="https://login.consultant.ru/link/?req=doc&amp;base=LAW&amp;n=511241&amp;dst=7889" w:history="1">
        <w:r>
          <w:rPr>
            <w:rFonts w:ascii="Times New Roman" w:hAnsi="Times New Roman" w:cs="Times New Roman"/>
            <w:sz w:val="28"/>
            <w:szCs w:val="28"/>
          </w:rPr>
          <w:t xml:space="preserve">статьей 242.13-1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информация о применении мер реагирования, предусмотренных </w:t>
      </w:r>
      <w:hyperlink r:id="rId27" w:tooltip="https://login.consultant.ru/link/?req=doc&amp;base=LAW&amp;n=511241&amp;dst=6685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указанной статьи, направляется получателям бюджетных средств, до которых доведены лимиты бюджетных обязательств на предоставление средств, указанных в </w:t>
      </w:r>
      <w:hyperlink w:tooltip="#Par18" w:anchor="Par18" w:history="1">
        <w:r>
          <w:rPr>
            <w:rFonts w:ascii="Times New Roman" w:hAnsi="Times New Roman" w:cs="Times New Roman"/>
            <w:sz w:val="28"/>
            <w:szCs w:val="28"/>
          </w:rPr>
          <w:t xml:space="preserve">пунктах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tooltip="#Par19" w:anchor="Par19" w:history="1">
        <w:r>
          <w:rPr>
            <w:rFonts w:ascii="Times New Roman" w:hAnsi="Times New Roman" w:cs="Times New Roman"/>
            <w:sz w:val="28"/>
            <w:szCs w:val="28"/>
          </w:rPr>
          <w:t xml:space="preserve">2 части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tooltip="#Par29" w:anchor="Par29" w:history="1">
        <w:r>
          <w:rPr>
            <w:rFonts w:ascii="Times New Roman" w:hAnsi="Times New Roman" w:cs="Times New Roman"/>
            <w:sz w:val="28"/>
            <w:szCs w:val="28"/>
          </w:rPr>
          <w:t xml:space="preserve">пунктах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tooltip="#Par31" w:anchor="Par31" w:history="1">
        <w:r>
          <w:rPr>
            <w:rFonts w:ascii="Times New Roman" w:hAnsi="Times New Roman" w:cs="Times New Roman"/>
            <w:sz w:val="28"/>
            <w:szCs w:val="28"/>
          </w:rPr>
          <w:t xml:space="preserve"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tooltip="#Par33" w:anchor="Par33" w:history="1">
        <w:r>
          <w:rPr>
            <w:rFonts w:ascii="Times New Roman" w:hAnsi="Times New Roman" w:cs="Times New Roman"/>
            <w:sz w:val="28"/>
            <w:szCs w:val="28"/>
          </w:rPr>
          <w:t xml:space="preserve">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tooltip="#Par34" w:anchor="Par34" w:history="1">
        <w:r>
          <w:rPr>
            <w:rFonts w:ascii="Times New Roman" w:hAnsi="Times New Roman" w:cs="Times New Roman"/>
            <w:sz w:val="28"/>
            <w:szCs w:val="28"/>
          </w:rPr>
          <w:t xml:space="preserve">6 части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статьи, а также юридическим лицам и индивидуальным предпринимателям, являющимся получателями средств, указанных в </w:t>
      </w:r>
      <w:hyperlink w:tooltip="#Par20" w:anchor="Par20" w:history="1">
        <w:r>
          <w:rPr>
            <w:rFonts w:ascii="Times New Roman" w:hAnsi="Times New Roman" w:cs="Times New Roman"/>
            <w:sz w:val="28"/>
            <w:szCs w:val="28"/>
          </w:rPr>
          <w:t xml:space="preserve">пунктах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tooltip="#Par21" w:anchor="Par21" w:history="1">
        <w:r>
          <w:rPr>
            <w:rFonts w:ascii="Times New Roman" w:hAnsi="Times New Roman" w:cs="Times New Roman"/>
            <w:sz w:val="28"/>
            <w:szCs w:val="28"/>
          </w:rPr>
          <w:t xml:space="preserve">4 части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tooltip="#Par29" w:anchor="Par29" w:history="1">
        <w:r>
          <w:rPr>
            <w:rFonts w:ascii="Times New Roman" w:hAnsi="Times New Roman" w:cs="Times New Roman"/>
            <w:sz w:val="28"/>
            <w:szCs w:val="28"/>
          </w:rPr>
          <w:t xml:space="preserve">пунктах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tooltip="#Par31" w:anchor="Par31" w:history="1">
        <w:r>
          <w:rPr>
            <w:rFonts w:ascii="Times New Roman" w:hAnsi="Times New Roman" w:cs="Times New Roman"/>
            <w:sz w:val="28"/>
            <w:szCs w:val="28"/>
          </w:rPr>
          <w:t xml:space="preserve"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tooltip="#Par33" w:anchor="Par33" w:history="1">
        <w:r>
          <w:rPr>
            <w:rFonts w:ascii="Times New Roman" w:hAnsi="Times New Roman" w:cs="Times New Roman"/>
            <w:sz w:val="28"/>
            <w:szCs w:val="28"/>
          </w:rPr>
          <w:t xml:space="preserve">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tooltip="#Par34" w:anchor="Par34" w:history="1">
        <w:r>
          <w:rPr>
            <w:rFonts w:ascii="Times New Roman" w:hAnsi="Times New Roman" w:cs="Times New Roman"/>
            <w:sz w:val="28"/>
            <w:szCs w:val="28"/>
          </w:rPr>
          <w:t xml:space="preserve">6 части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 случаях, определенных Правительством Российской Федерации, при осуществлении казначейского сопровождения целевых средств, получаемых юридическими лицами и индивидуальными предпринимателями, осуществляется банковское сопр</w:t>
      </w:r>
      <w:r>
        <w:rPr>
          <w:rFonts w:ascii="Times New Roman" w:hAnsi="Times New Roman" w:cs="Times New Roman"/>
          <w:sz w:val="28"/>
          <w:szCs w:val="28"/>
        </w:rPr>
        <w:t xml:space="preserve">овождение в порядке, установленном Правительством Российской Федерации, включающем порядок взаимодействия между банком, осуществляющим банковское сопровождение, и территориальным органом Федерального казначейства, осуществляющим казначейское сопровождение.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/>
      <w:bookmarkStart w:id="14" w:name="Par45"/>
      <w:r/>
      <w:bookmarkEnd w:id="14"/>
      <w:r>
        <w:rPr>
          <w:rFonts w:ascii="Times New Roman" w:hAnsi="Times New Roman" w:cs="Times New Roman"/>
          <w:sz w:val="28"/>
          <w:szCs w:val="28"/>
        </w:rPr>
        <w:t xml:space="preserve">11. Установить, что остатки бюджетных инвестиций и остатки субсидий (за исключением субсидий федеральным бюджетным и автономным учреждениям, предоставленных на финансовое обеспечение выполнения государственного задания на ок</w:t>
      </w:r>
      <w:r>
        <w:rPr>
          <w:rFonts w:ascii="Times New Roman" w:hAnsi="Times New Roman" w:cs="Times New Roman"/>
          <w:sz w:val="28"/>
          <w:szCs w:val="28"/>
        </w:rPr>
        <w:t xml:space="preserve">азание ими государственных услуг, выполнение работ) в валюте Российской Федерации, предоставленных из федерального бюджета в целях финансового обеспечения затрат юридических лиц, находящиеся на лицевых счетах, открытых юридическим лицам в территориальных о</w:t>
      </w:r>
      <w:r>
        <w:rPr>
          <w:rFonts w:ascii="Times New Roman" w:hAnsi="Times New Roman" w:cs="Times New Roman"/>
          <w:sz w:val="28"/>
          <w:szCs w:val="28"/>
        </w:rPr>
        <w:t xml:space="preserve">рганах Федерального казначейства, на счетах в Центральном банке Российской Федерации, в кредитных организациях, не использованные по состоянию на 1 января 2026 года, подлежат использованию этими юридическими лицами в соответствии с решениями, указанными в </w:t>
      </w:r>
      <w:hyperlink w:tooltip="#Par46" w:anchor="Par46" w:history="1">
        <w:r>
          <w:rPr>
            <w:rFonts w:ascii="Times New Roman" w:hAnsi="Times New Roman" w:cs="Times New Roman"/>
            <w:sz w:val="28"/>
            <w:szCs w:val="28"/>
          </w:rPr>
          <w:t xml:space="preserve">части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статьи, с внесением соответствующих изменений в договоры (соглашения) о предоставлении субсидий и бюджетных инвестиций указанным юридическим лицам.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/>
      <w:bookmarkStart w:id="15" w:name="Par46"/>
      <w:r/>
      <w:bookmarkEnd w:id="15"/>
      <w:r>
        <w:rPr>
          <w:rFonts w:ascii="Times New Roman" w:hAnsi="Times New Roman" w:cs="Times New Roman"/>
          <w:sz w:val="28"/>
          <w:szCs w:val="28"/>
        </w:rPr>
        <w:t xml:space="preserve">12. Установить, что главные распорядители средств федерального бюджета, предоставившие как получатели бюджетных средств из федерального бюджета средства, указанные в </w:t>
      </w:r>
      <w:hyperlink w:tooltip="#Par45" w:anchor="Par45" w:history="1">
        <w:r>
          <w:rPr>
            <w:rFonts w:ascii="Times New Roman" w:hAnsi="Times New Roman" w:cs="Times New Roman"/>
            <w:sz w:val="28"/>
            <w:szCs w:val="28"/>
          </w:rPr>
          <w:t xml:space="preserve">части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статьи, принимают до 1 мая 2026 года решение об использовании полностью или частично остатков указанных средств в установленном Правительством Российской Федерации порядке: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 цели, ранее установленные условиями предоставления целевых средств;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 иные цели, определенные настоящим Федеральным законом, с последующим сокращением бюджетных ассигнований на предоставление в 2026 году соответствующим юридическим лицам взносов в их уставные (складочные) капиталы.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/>
      <w:bookmarkStart w:id="16" w:name="Par49"/>
      <w:r/>
      <w:bookmarkEnd w:id="16"/>
      <w:r>
        <w:rPr>
          <w:rFonts w:ascii="Times New Roman" w:hAnsi="Times New Roman" w:cs="Times New Roman"/>
          <w:sz w:val="28"/>
          <w:szCs w:val="28"/>
        </w:rPr>
        <w:t xml:space="preserve">13. Главные распорядители средств федерального бюдж</w:t>
      </w:r>
      <w:r>
        <w:rPr>
          <w:rFonts w:ascii="Times New Roman" w:hAnsi="Times New Roman" w:cs="Times New Roman"/>
          <w:sz w:val="28"/>
          <w:szCs w:val="28"/>
        </w:rPr>
        <w:t xml:space="preserve">ета в порядке, установленном Правительством Российской Федерации, не позднее тридцатого рабочего дня со дня поступления юридическим лицам средств по ранее произведенным им выплатам, источником финансового обеспечения которых являются средства, указанные в </w:t>
      </w:r>
      <w:hyperlink w:tooltip="#Par45" w:anchor="Par45" w:history="1">
        <w:r>
          <w:rPr>
            <w:rFonts w:ascii="Times New Roman" w:hAnsi="Times New Roman" w:cs="Times New Roman"/>
            <w:sz w:val="28"/>
            <w:szCs w:val="28"/>
          </w:rPr>
          <w:t xml:space="preserve">части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 (далее - средства от возврата дебиторской задолженности), принимают решения об использовании указанных средств для достижения целей, установленных при </w:t>
      </w:r>
      <w:r>
        <w:rPr>
          <w:rFonts w:ascii="Times New Roman" w:hAnsi="Times New Roman" w:cs="Times New Roman"/>
          <w:sz w:val="28"/>
          <w:szCs w:val="28"/>
        </w:rPr>
        <w:t xml:space="preserve">их предоставлении.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/>
      <w:bookmarkStart w:id="17" w:name="Par50"/>
      <w:r/>
      <w:bookmarkEnd w:id="17"/>
      <w:r>
        <w:rPr>
          <w:rFonts w:ascii="Times New Roman" w:hAnsi="Times New Roman" w:cs="Times New Roman"/>
          <w:sz w:val="28"/>
          <w:szCs w:val="28"/>
        </w:rPr>
        <w:t xml:space="preserve">14. При отсутствии решений, указанных в </w:t>
      </w:r>
      <w:hyperlink w:tooltip="#Par46" w:anchor="Par46" w:history="1">
        <w:r>
          <w:rPr>
            <w:rFonts w:ascii="Times New Roman" w:hAnsi="Times New Roman" w:cs="Times New Roman"/>
            <w:sz w:val="28"/>
            <w:szCs w:val="28"/>
          </w:rPr>
          <w:t xml:space="preserve">частях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tooltip="#Par49" w:anchor="Par49" w:history="1">
        <w:r>
          <w:rPr>
            <w:rFonts w:ascii="Times New Roman" w:hAnsi="Times New Roman" w:cs="Times New Roman"/>
            <w:sz w:val="28"/>
            <w:szCs w:val="28"/>
          </w:rPr>
          <w:t xml:space="preserve">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статьи, по состоянию на 1 мая 2026 года или тридцатый рабочий день со дня поступления средств от возврата дебиторской задолженности остатки средств (за исключением ост</w:t>
      </w:r>
      <w:r>
        <w:rPr>
          <w:rFonts w:ascii="Times New Roman" w:hAnsi="Times New Roman" w:cs="Times New Roman"/>
          <w:sz w:val="28"/>
          <w:szCs w:val="28"/>
        </w:rPr>
        <w:t xml:space="preserve">атков средств, источником образования которых являются бюджетные инвестиции, а также по решению Правительства Российской Федерации средств, предоставляемых социально ориентированным некоммерческим организациям, осуществляющим деятельность, предусмотренную </w:t>
      </w:r>
      <w:hyperlink r:id="rId28" w:tooltip="https://login.consultant.ru/link/?req=doc&amp;base=LAW&amp;n=511335&amp;dst=134" w:history="1">
        <w:r>
          <w:rPr>
            <w:rFonts w:ascii="Times New Roman" w:hAnsi="Times New Roman" w:cs="Times New Roman"/>
            <w:sz w:val="28"/>
            <w:szCs w:val="28"/>
          </w:rPr>
          <w:t xml:space="preserve">статьей 31.1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года N 7-ФЗ "О некоммерческих организациях", организациям кинематографии, региональным и муниципальным средствам массовой информации, а также политическим партиям в</w:t>
      </w:r>
      <w:r>
        <w:rPr>
          <w:rFonts w:ascii="Times New Roman" w:hAnsi="Times New Roman" w:cs="Times New Roman"/>
          <w:sz w:val="28"/>
          <w:szCs w:val="28"/>
        </w:rPr>
        <w:t xml:space="preserve"> целях компенсации финансовых затрат по итогам их участия в выборах) и средства от возврата дебиторской задолженности (за исключением средств от возврата дебиторской задолженности, источником образования которых являются бюджетные инвестиции), указанные в </w:t>
      </w:r>
      <w:hyperlink w:tooltip="#Par46" w:anchor="Par46" w:history="1">
        <w:r>
          <w:rPr>
            <w:rFonts w:ascii="Times New Roman" w:hAnsi="Times New Roman" w:cs="Times New Roman"/>
            <w:sz w:val="28"/>
            <w:szCs w:val="28"/>
          </w:rPr>
          <w:t xml:space="preserve">частях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tooltip="#Par49" w:anchor="Par49" w:history="1">
        <w:r>
          <w:rPr>
            <w:rFonts w:ascii="Times New Roman" w:hAnsi="Times New Roman" w:cs="Times New Roman"/>
            <w:sz w:val="28"/>
            <w:szCs w:val="28"/>
          </w:rPr>
          <w:t xml:space="preserve">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статьи, подлежат перечислению юридическими лицами в доходы федерального бюджета в порядке, установленном Правительством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В случае неисполнения юридическими лицами требования, установленного </w:t>
      </w:r>
      <w:hyperlink w:tooltip="#Par50" w:anchor="Par50" w:history="1">
        <w:r>
          <w:rPr>
            <w:rFonts w:ascii="Times New Roman" w:hAnsi="Times New Roman" w:cs="Times New Roman"/>
            <w:sz w:val="28"/>
            <w:szCs w:val="28"/>
          </w:rPr>
          <w:t xml:space="preserve">частью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статьи, территориальные органы Федерального казначейства перечисляют в доходы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остатки субсидий или средства от возврата дебиторской задолженности, находящиеся на лицевых счетах, открытых юридическим лицам в территориальных органах Федерального казначейства, в порядке и сроки, которые установлены Правительством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(Секретно).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(Секретно).</w:t>
      </w:r>
      <w:bookmarkStart w:id="18" w:name="_GoBack"/>
      <w:r/>
      <w:bookmarkEnd w:id="18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520057&amp;dst=100003" TargetMode="External"/><Relationship Id="rId9" Type="http://schemas.openxmlformats.org/officeDocument/2006/relationships/hyperlink" Target="https://login.consultant.ru/link/?req=doc&amp;base=LAW&amp;n=511241&amp;dst=6772" TargetMode="External"/><Relationship Id="rId10" Type="http://schemas.openxmlformats.org/officeDocument/2006/relationships/hyperlink" Target="https://login.consultant.ru/link/?req=doc&amp;base=LAW&amp;n=511241&amp;dst=103142" TargetMode="External"/><Relationship Id="rId11" Type="http://schemas.openxmlformats.org/officeDocument/2006/relationships/hyperlink" Target="https://login.consultant.ru/link/?req=doc&amp;base=LAW&amp;n=511241&amp;dst=7461" TargetMode="External"/><Relationship Id="rId12" Type="http://schemas.openxmlformats.org/officeDocument/2006/relationships/hyperlink" Target="https://login.consultant.ru/link/?req=doc&amp;base=LAW&amp;n=511241&amp;dst=6233" TargetMode="External"/><Relationship Id="rId13" Type="http://schemas.openxmlformats.org/officeDocument/2006/relationships/hyperlink" Target="https://login.consultant.ru/link/?req=doc&amp;base=LAW&amp;n=511241&amp;dst=7610" TargetMode="External"/><Relationship Id="rId14" Type="http://schemas.openxmlformats.org/officeDocument/2006/relationships/hyperlink" Target="https://login.consultant.ru/link/?req=doc&amp;base=LAW&amp;n=511241&amp;dst=103433" TargetMode="External"/><Relationship Id="rId15" Type="http://schemas.openxmlformats.org/officeDocument/2006/relationships/hyperlink" Target="https://login.consultant.ru/link/?req=doc&amp;base=LAW&amp;n=494990&amp;dst=12254" TargetMode="External"/><Relationship Id="rId16" Type="http://schemas.openxmlformats.org/officeDocument/2006/relationships/hyperlink" Target="https://login.consultant.ru/link/?req=doc&amp;base=LAW&amp;n=511241&amp;dst=6751" TargetMode="External"/><Relationship Id="rId17" Type="http://schemas.openxmlformats.org/officeDocument/2006/relationships/hyperlink" Target="https://login.consultant.ru/link/?req=doc&amp;base=LAW&amp;n=511241&amp;dst=103142" TargetMode="External"/><Relationship Id="rId18" Type="http://schemas.openxmlformats.org/officeDocument/2006/relationships/hyperlink" Target="https://login.consultant.ru/link/?req=doc&amp;base=LAW&amp;n=511241&amp;dst=103142" TargetMode="External"/><Relationship Id="rId19" Type="http://schemas.openxmlformats.org/officeDocument/2006/relationships/hyperlink" Target="https://login.consultant.ru/link/?req=doc&amp;base=LAW&amp;n=511241&amp;dst=7461" TargetMode="External"/><Relationship Id="rId20" Type="http://schemas.openxmlformats.org/officeDocument/2006/relationships/hyperlink" Target="https://login.consultant.ru/link/?req=doc&amp;base=LAW&amp;n=511241&amp;dst=103142" TargetMode="External"/><Relationship Id="rId21" Type="http://schemas.openxmlformats.org/officeDocument/2006/relationships/hyperlink" Target="https://login.consultant.ru/link/?req=doc&amp;base=LAW&amp;n=494990&amp;dst=12254" TargetMode="External"/><Relationship Id="rId22" Type="http://schemas.openxmlformats.org/officeDocument/2006/relationships/hyperlink" Target="https://login.consultant.ru/link/?req=doc&amp;base=LAW&amp;n=494990&amp;dst=12331" TargetMode="External"/><Relationship Id="rId23" Type="http://schemas.openxmlformats.org/officeDocument/2006/relationships/hyperlink" Target="https://login.consultant.ru/link/?req=doc&amp;base=LAW&amp;n=511241&amp;dst=6774" TargetMode="External"/><Relationship Id="rId24" Type="http://schemas.openxmlformats.org/officeDocument/2006/relationships/hyperlink" Target="https://login.consultant.ru/link/?req=doc&amp;base=LAW&amp;n=511241&amp;dst=6790" TargetMode="External"/><Relationship Id="rId25" Type="http://schemas.openxmlformats.org/officeDocument/2006/relationships/hyperlink" Target="https://login.consultant.ru/link/?req=doc&amp;base=LAW&amp;n=511241&amp;dst=6731" TargetMode="External"/><Relationship Id="rId26" Type="http://schemas.openxmlformats.org/officeDocument/2006/relationships/hyperlink" Target="https://login.consultant.ru/link/?req=doc&amp;base=LAW&amp;n=511241&amp;dst=7889" TargetMode="External"/><Relationship Id="rId27" Type="http://schemas.openxmlformats.org/officeDocument/2006/relationships/hyperlink" Target="https://login.consultant.ru/link/?req=doc&amp;base=LAW&amp;n=511241&amp;dst=6685" TargetMode="External"/><Relationship Id="rId28" Type="http://schemas.openxmlformats.org/officeDocument/2006/relationships/hyperlink" Target="https://login.consultant.ru/link/?req=doc&amp;base=LAW&amp;n=511335&amp;dst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Чепик Егор Александрович</dc:creator>
  <cp:keywords/>
  <dc:description/>
  <cp:lastModifiedBy>Аноним</cp:lastModifiedBy>
  <cp:revision>4</cp:revision>
  <dcterms:created xsi:type="dcterms:W3CDTF">2025-12-03T08:10:00Z</dcterms:created>
  <dcterms:modified xsi:type="dcterms:W3CDTF">2025-12-11T17:33:18Z</dcterms:modified>
</cp:coreProperties>
</file>